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47F5C061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E30B71">
        <w:rPr>
          <w:rFonts w:eastAsia="Batang" w:cs="Arial"/>
          <w:b/>
          <w:bCs/>
          <w:sz w:val="24"/>
          <w:szCs w:val="24"/>
          <w:lang w:val="en-US"/>
        </w:rPr>
        <w:t>95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10117" w:rsidRPr="00310117">
        <w:rPr>
          <w:b/>
          <w:sz w:val="24"/>
          <w:szCs w:val="24"/>
          <w:lang w:eastAsia="ko-KR"/>
        </w:rPr>
        <w:t>R1-</w:t>
      </w:r>
      <w:r w:rsidR="001F0682" w:rsidRPr="00310117">
        <w:rPr>
          <w:b/>
          <w:sz w:val="24"/>
          <w:szCs w:val="24"/>
          <w:lang w:eastAsia="ko-KR"/>
        </w:rPr>
        <w:t>181</w:t>
      </w:r>
      <w:r w:rsidR="000E1B64">
        <w:rPr>
          <w:b/>
          <w:sz w:val="24"/>
          <w:szCs w:val="24"/>
          <w:lang w:eastAsia="ko-KR"/>
        </w:rPr>
        <w:t>3999</w:t>
      </w:r>
      <w:bookmarkStart w:id="2" w:name="_GoBack"/>
      <w:bookmarkEnd w:id="2"/>
    </w:p>
    <w:bookmarkEnd w:id="0"/>
    <w:bookmarkEnd w:id="1"/>
    <w:p w14:paraId="6D2861AA" w14:textId="4E8C79B0" w:rsidR="00B720F1" w:rsidRDefault="00E30B71" w:rsidP="00B720F1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Spokane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USA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12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1</w:t>
      </w:r>
      <w:r>
        <w:rPr>
          <w:rFonts w:ascii="Arial" w:eastAsia="MS Mincho" w:hAnsi="Arial" w:cs="Arial"/>
          <w:b/>
          <w:bCs/>
          <w:sz w:val="24"/>
          <w:lang w:val="en-US"/>
        </w:rPr>
        <w:t>6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November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2018</w:t>
      </w: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464CC58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181E4AAA"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5321A7">
        <w:rPr>
          <w:lang w:val="en-US"/>
        </w:rPr>
        <w:t xml:space="preserve"> was reached in RAN1#94bis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0F885D72" w14:textId="77777777"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D758BF8" w14:textId="77777777" w:rsidR="005321A7" w:rsidRPr="00EA31A5" w:rsidRDefault="005321A7" w:rsidP="005321A7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L1-SINR is supported. L1-RSRQ is not supported.</w:t>
            </w:r>
          </w:p>
          <w:p w14:paraId="218793B8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Companies to study and provide definition of L1-SINR</w:t>
            </w:r>
          </w:p>
          <w:p w14:paraId="693ABF9A" w14:textId="77777777" w:rsidR="005321A7" w:rsidRPr="00EA31A5" w:rsidRDefault="005321A7" w:rsidP="005321A7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Study the reporting content, e.g.</w:t>
            </w:r>
          </w:p>
          <w:p w14:paraId="0DD554E9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Whether CRI/SSBRI is reported</w:t>
            </w:r>
          </w:p>
          <w:p w14:paraId="4C271994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Whether differential group/non-group reporting is applied</w:t>
            </w:r>
          </w:p>
          <w:p w14:paraId="130D1FAE" w14:textId="77777777" w:rsidR="005321A7" w:rsidRPr="00EA31A5" w:rsidRDefault="005321A7" w:rsidP="005321A7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Whether L1-RSRP is reported</w:t>
            </w:r>
          </w:p>
          <w:p w14:paraId="1662BBA0" w14:textId="7D25A03B" w:rsidR="00203A83" w:rsidRPr="005321A7" w:rsidRDefault="005321A7" w:rsidP="005321A7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i/>
              </w:rPr>
            </w:pPr>
            <w:r w:rsidRPr="00EA31A5">
              <w:rPr>
                <w:i/>
              </w:rPr>
              <w:t>Study the interference measurement mechanism</w:t>
            </w:r>
          </w:p>
        </w:tc>
      </w:tr>
    </w:tbl>
    <w:p w14:paraId="250F2257" w14:textId="77777777" w:rsidR="00220550" w:rsidRDefault="00220550" w:rsidP="00E701C2">
      <w:pPr>
        <w:pStyle w:val="maintext"/>
        <w:spacing w:after="120"/>
        <w:ind w:firstLineChars="0" w:firstLine="0"/>
      </w:pPr>
    </w:p>
    <w:p w14:paraId="3905087B" w14:textId="7402D817"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605CDE">
        <w:t xml:space="preserve"> L1-RSRP and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>
        <w:t>.</w:t>
      </w:r>
      <w:r w:rsidR="00996F83">
        <w:t xml:space="preserve"> </w:t>
      </w:r>
    </w:p>
    <w:p w14:paraId="6E09FE63" w14:textId="5E79B1A0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14:paraId="23F9F99F" w14:textId="31CDDB0F"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r w:rsidR="006A7E0F">
        <w:t xml:space="preserve">is considered in the simulation. The relevant simulation </w:t>
      </w:r>
      <w:r w:rsidR="000B12C8">
        <w:t xml:space="preserve">assumptions and </w:t>
      </w:r>
      <w:r w:rsidR="006A7E0F">
        <w:t xml:space="preserve">parameters are 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D90B20">
        <w:t xml:space="preserve">Table </w:t>
      </w:r>
      <w:r w:rsidR="00D90B20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</w:t>
      </w:r>
      <w:r w:rsidR="00154CFB">
        <w:rPr>
          <w:lang w:val="en-US" w:eastAsia="ko-KR"/>
        </w:rPr>
        <w:t>two</w:t>
      </w:r>
      <w:r w:rsidR="003A53B1">
        <w:rPr>
          <w:lang w:val="en-US" w:eastAsia="ko-KR"/>
        </w:rPr>
        <w:t xml:space="preserve">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14:paraId="6B89AB95" w14:textId="62CAEC69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5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14:paraId="171D4A31" w14:textId="0EF38CD2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14:paraId="1EAF12CB" w14:textId="306E200B" w:rsidR="00E4427B" w:rsidRPr="00227E1D" w:rsidRDefault="005F4726" w:rsidP="00D90B20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gNB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>
        <w:rPr>
          <w:lang w:val="en-US" w:eastAsia="ko-KR"/>
        </w:rPr>
        <w:t xml:space="preserve">alternatives is shown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_Ref528842057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14:paraId="07D23366" w14:textId="24E39D7B"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>difference in distributions of gNB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14:paraId="367E4801" w14:textId="22C862D9"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14:paraId="13A3B767" w14:textId="53141F9B"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lastRenderedPageBreak/>
        <w:drawing>
          <wp:inline distT="0" distB="0" distL="0" distR="0" wp14:anchorId="4E15E0C3" wp14:editId="16B06E25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9E32" w14:textId="3FE8BB5C" w:rsidR="00154CFB" w:rsidRDefault="00154CFB" w:rsidP="00154CFB">
      <w:pPr>
        <w:pStyle w:val="Caption"/>
        <w:jc w:val="center"/>
        <w:rPr>
          <w:i/>
        </w:rPr>
      </w:pPr>
      <w:bookmarkStart w:id="6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1</w:t>
      </w:r>
      <w:r>
        <w:fldChar w:fldCharType="end"/>
      </w:r>
      <w:bookmarkEnd w:id="6"/>
      <w:r>
        <w:t>: Distribution of gNB and UE beam pairs</w:t>
      </w:r>
    </w:p>
    <w:p w14:paraId="7C84F479" w14:textId="6F1F36E2" w:rsidR="00154CFB" w:rsidRDefault="00154CFB" w:rsidP="00566458">
      <w:pPr>
        <w:rPr>
          <w:i/>
        </w:rPr>
      </w:pPr>
    </w:p>
    <w:p w14:paraId="1B89769D" w14:textId="6D708B13"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58E2339A" wp14:editId="2517A4F0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0D8D" w14:textId="4DDE8321" w:rsidR="00154CFB" w:rsidRDefault="00154CFB" w:rsidP="00154CFB">
      <w:pPr>
        <w:pStyle w:val="Caption"/>
        <w:jc w:val="center"/>
        <w:rPr>
          <w:i/>
        </w:rPr>
      </w:pPr>
      <w:bookmarkStart w:id="7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2</w:t>
      </w:r>
      <w:r>
        <w:fldChar w:fldCharType="end"/>
      </w:r>
      <w:bookmarkEnd w:id="7"/>
      <w:r>
        <w:t>: CDF of RSRP metric</w:t>
      </w:r>
    </w:p>
    <w:p w14:paraId="0A3AE857" w14:textId="77777777" w:rsidR="00154CFB" w:rsidRDefault="00154CFB" w:rsidP="00566458">
      <w:pPr>
        <w:rPr>
          <w:i/>
        </w:rPr>
      </w:pPr>
    </w:p>
    <w:p w14:paraId="2D90282F" w14:textId="7353BD70" w:rsidR="001E18A3" w:rsidRDefault="001E18A3" w:rsidP="005F4726">
      <w:pPr>
        <w:keepNext/>
        <w:jc w:val="center"/>
      </w:pPr>
    </w:p>
    <w:p w14:paraId="65654776" w14:textId="097E4495"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1D621942" wp14:editId="717DA040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1D28" w14:textId="0EC62F50" w:rsidR="006A7E0F" w:rsidRDefault="001E18A3" w:rsidP="00154CFB">
      <w:pPr>
        <w:pStyle w:val="Caption"/>
        <w:jc w:val="center"/>
      </w:pPr>
      <w:bookmarkStart w:id="8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3</w:t>
      </w:r>
      <w:r>
        <w:fldChar w:fldCharType="end"/>
      </w:r>
      <w:bookmarkEnd w:id="8"/>
      <w:r>
        <w:t xml:space="preserve">: CDF of </w:t>
      </w:r>
      <w:r w:rsidR="00154CFB">
        <w:t xml:space="preserve">38.215 </w:t>
      </w:r>
      <w:r>
        <w:t>SINR metric</w:t>
      </w:r>
    </w:p>
    <w:p w14:paraId="32FAFD68" w14:textId="37BC19DD" w:rsidR="002211E3" w:rsidRDefault="002211E3" w:rsidP="002211E3">
      <w:r>
        <w:t xml:space="preserve">The user perceived throughput (UPT) performance comparison between </w:t>
      </w:r>
      <w:r w:rsidR="00A378A8">
        <w:t>Rel.15 L1-</w:t>
      </w:r>
      <w:r>
        <w:t xml:space="preserve">RSRP and </w:t>
      </w:r>
      <w:r w:rsidR="00A378A8">
        <w:t xml:space="preserve">TS </w:t>
      </w:r>
      <w:r>
        <w:t xml:space="preserve">38.215 </w:t>
      </w:r>
      <w:r w:rsidR="00A378A8">
        <w:t>CSI-</w:t>
      </w:r>
      <w:r>
        <w:t xml:space="preserve">SINR metric is shown in </w:t>
      </w:r>
      <w:r>
        <w:fldChar w:fldCharType="begin"/>
      </w:r>
      <w:r>
        <w:instrText xml:space="preserve"> REF _Ref529777388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, where</w:t>
      </w:r>
      <w:r w:rsidR="004076E9">
        <w:t xml:space="preserve"> </w:t>
      </w:r>
      <w:r w:rsidR="001C7365">
        <w:t xml:space="preserve">the </w:t>
      </w:r>
      <w:r>
        <w:t xml:space="preserve">SINR </w:t>
      </w:r>
      <w:r w:rsidR="001C7365">
        <w:t xml:space="preserve"> is calculated by summing the SINR across receiver branches.is</w:t>
      </w:r>
      <w:r w:rsidR="004076E9">
        <w:t xml:space="preserve"> </w:t>
      </w:r>
      <w:r>
        <w:t>We can observe the following.</w:t>
      </w:r>
    </w:p>
    <w:p w14:paraId="11A53F89" w14:textId="721312DE" w:rsidR="00C0795A" w:rsidRDefault="002211E3" w:rsidP="00384667"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 xml:space="preserve">: </w:t>
      </w:r>
      <w:r>
        <w:rPr>
          <w:i/>
        </w:rPr>
        <w:t xml:space="preserve">The </w:t>
      </w:r>
      <w:r w:rsidR="001C7365">
        <w:rPr>
          <w:i/>
        </w:rPr>
        <w:t xml:space="preserve">TS </w:t>
      </w:r>
      <w:r>
        <w:rPr>
          <w:i/>
        </w:rPr>
        <w:t xml:space="preserve">38.215 </w:t>
      </w:r>
      <w:r w:rsidR="001C7365">
        <w:rPr>
          <w:i/>
        </w:rPr>
        <w:t>CSI-</w:t>
      </w:r>
      <w:r>
        <w:rPr>
          <w:i/>
        </w:rPr>
        <w:t xml:space="preserve">SINR metric </w:t>
      </w:r>
      <w:r w:rsidR="001C7365">
        <w:rPr>
          <w:i/>
        </w:rPr>
        <w:t>results in slightly lower average and 50% UPT performance</w:t>
      </w:r>
      <w:r w:rsidR="001C7365" w:rsidDel="001C7365">
        <w:rPr>
          <w:i/>
        </w:rPr>
        <w:t xml:space="preserve"> </w:t>
      </w:r>
      <w:r>
        <w:rPr>
          <w:i/>
        </w:rPr>
        <w:t xml:space="preserve">than </w:t>
      </w:r>
      <w:r w:rsidR="001C7365">
        <w:rPr>
          <w:i/>
        </w:rPr>
        <w:t>Rel.15 L1-</w:t>
      </w:r>
      <w:r>
        <w:rPr>
          <w:i/>
        </w:rPr>
        <w:t>RSRP metric</w:t>
      </w:r>
      <w:r w:rsidR="001C7365">
        <w:rPr>
          <w:i/>
        </w:rPr>
        <w:t>.</w:t>
      </w:r>
      <w:r w:rsidR="0007125C">
        <w:rPr>
          <w:i/>
        </w:rPr>
        <w:t xml:space="preserve"> Therefore, there is no perceivable benefit from 38.215 SINR in UPT.</w:t>
      </w:r>
      <w:r w:rsidR="0007125C" w:rsidRPr="00DD1D73">
        <w:rPr>
          <w:i/>
        </w:rPr>
        <w:t xml:space="preserve"> </w:t>
      </w:r>
      <w:r w:rsidR="001C7365">
        <w:rPr>
          <w:i/>
        </w:rPr>
        <w:t xml:space="preserve"> </w:t>
      </w:r>
    </w:p>
    <w:p w14:paraId="1CB4A07E" w14:textId="77777777" w:rsidR="002211E3" w:rsidRDefault="00384667" w:rsidP="000E1B64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9CE5B66" wp14:editId="2DA9E26B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B0B4698" w14:textId="6D016620" w:rsidR="00384667" w:rsidRDefault="002211E3" w:rsidP="000E1B64">
      <w:pPr>
        <w:pStyle w:val="Caption"/>
        <w:jc w:val="center"/>
      </w:pPr>
      <w:bookmarkStart w:id="9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 xml:space="preserve">: User throughput performance comparison between </w:t>
      </w:r>
      <w:r w:rsidR="009E5E9A">
        <w:t>Rel.15 L1-</w:t>
      </w:r>
      <w:r>
        <w:t xml:space="preserve">RSRP and </w:t>
      </w:r>
      <w:r w:rsidR="009E5E9A">
        <w:t xml:space="preserve">TS </w:t>
      </w:r>
      <w:r>
        <w:t>38.215 SINR metrics</w:t>
      </w:r>
    </w:p>
    <w:p w14:paraId="69B7C751" w14:textId="77777777" w:rsidR="000E1B64" w:rsidRPr="000E1B64" w:rsidRDefault="000E1B64" w:rsidP="000E1B64"/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18981D92" w14:textId="793DFC28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62775E">
        <w:rPr>
          <w:lang w:eastAsia="ko-KR"/>
        </w:rPr>
        <w:t>RSRP and 38.215</w:t>
      </w:r>
      <w:r w:rsidR="00220550">
        <w:rPr>
          <w:lang w:eastAsia="ko-KR"/>
        </w:rPr>
        <w:t xml:space="preserve"> </w:t>
      </w:r>
      <w:r w:rsidR="00472A8F">
        <w:rPr>
          <w:lang w:eastAsia="ko-KR"/>
        </w:rPr>
        <w:t>CSI-</w:t>
      </w:r>
      <w:r w:rsidR="00220550">
        <w:rPr>
          <w:lang w:eastAsia="ko-KR"/>
        </w:rPr>
        <w:t>SINR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 xml:space="preserve">.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r w:rsidR="00220550">
        <w:rPr>
          <w:lang w:eastAsia="ko-KR"/>
        </w:rPr>
        <w:t>is made</w:t>
      </w:r>
      <w:r>
        <w:rPr>
          <w:lang w:eastAsia="ko-KR"/>
        </w:rPr>
        <w:t xml:space="preserve">. </w:t>
      </w:r>
    </w:p>
    <w:p w14:paraId="21CF7A99" w14:textId="58F8D965" w:rsidR="00FA7CC6" w:rsidRPr="000E1B64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gNB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14:paraId="166D9E87" w14:textId="66C303FC" w:rsidR="00DD1D73" w:rsidRDefault="00DD1D73" w:rsidP="00DD1D73">
      <w:pPr>
        <w:pStyle w:val="ListParagraph"/>
        <w:numPr>
          <w:ilvl w:val="0"/>
          <w:numId w:val="31"/>
        </w:numPr>
        <w:ind w:leftChars="0"/>
      </w:pPr>
      <w:r w:rsidRPr="00DD1D73">
        <w:rPr>
          <w:i/>
        </w:rPr>
        <w:t>The TS 38.215 CSI-SINR metric results in slightly lower average and 50% UPT performance</w:t>
      </w:r>
      <w:r w:rsidRPr="00DD1D73" w:rsidDel="001C7365">
        <w:rPr>
          <w:i/>
        </w:rPr>
        <w:t xml:space="preserve"> </w:t>
      </w:r>
      <w:r w:rsidRPr="00DD1D73">
        <w:rPr>
          <w:i/>
        </w:rPr>
        <w:t>than Rel.15 L1-RSRP metric.</w:t>
      </w:r>
      <w:r w:rsidR="0075085B">
        <w:rPr>
          <w:i/>
        </w:rPr>
        <w:t xml:space="preserve"> Therefore, there is no perceivable benefit</w:t>
      </w:r>
      <w:r w:rsidR="0007125C">
        <w:rPr>
          <w:i/>
        </w:rPr>
        <w:t xml:space="preserve"> from 38.215 SINR</w:t>
      </w:r>
      <w:r w:rsidR="0075085B">
        <w:rPr>
          <w:i/>
        </w:rPr>
        <w:t xml:space="preserve"> in UPT.</w:t>
      </w:r>
      <w:r w:rsidRPr="00DD1D73">
        <w:rPr>
          <w:i/>
        </w:rPr>
        <w:t xml:space="preserve"> </w:t>
      </w:r>
    </w:p>
    <w:p w14:paraId="5DB8D26E" w14:textId="77777777" w:rsidR="00DD1D73" w:rsidRPr="00220550" w:rsidRDefault="00DD1D73" w:rsidP="000E1B64">
      <w:pPr>
        <w:pStyle w:val="ListParagraph"/>
        <w:ind w:leftChars="0" w:left="720"/>
        <w:rPr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00D8C6A9"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RAN1#94bis</w:t>
      </w:r>
    </w:p>
    <w:bookmarkEnd w:id="10"/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F60C77A" w14:textId="518D0164"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14:paraId="6592844B" w14:textId="77777777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AEBE4A" w14:textId="77777777"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C6E6D7" w14:textId="77777777"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14:paraId="2F30B7C7" w14:textId="77777777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EA284F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75D081" w14:textId="177A5D98"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14:paraId="60A82F70" w14:textId="030CB82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14:paraId="2528A566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0709D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112797" w14:textId="29189A43"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14:paraId="2DF04744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5DEFDB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C7681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14:paraId="202EBF0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EAD58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492D629" w14:textId="1F734695"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14:paraId="3FBB818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6465F6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A85B17" w14:textId="77777777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14:paraId="75EAC1C2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661CB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35EDA5" w14:textId="7A064B20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14:paraId="4D57DE0B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18223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9C6F2C" w14:textId="7D571980" w:rsidR="009C76D5" w:rsidRDefault="009C76D5">
            <w:pPr>
              <w:pStyle w:val="tal0"/>
              <w:spacing w:line="252" w:lineRule="auto"/>
              <w:jc w:val="both"/>
            </w:pPr>
            <w:r>
              <w:t>gNB: 16 2D DFT beams (4 in azimuth and 4 in zenith)</w:t>
            </w:r>
          </w:p>
          <w:p w14:paraId="1AE48F3D" w14:textId="455877AC" w:rsidR="009C76D5" w:rsidRDefault="009C76D5" w:rsidP="009C76D5">
            <w:pPr>
              <w:pStyle w:val="tal0"/>
              <w:spacing w:line="252" w:lineRule="auto"/>
              <w:jc w:val="both"/>
            </w:pPr>
            <w:r>
              <w:t>UE: 8 DFT DFT beams (4 in azimuth and 2 in zenith)</w:t>
            </w:r>
          </w:p>
        </w:tc>
      </w:tr>
      <w:tr w:rsidR="009C76D5" w14:paraId="6DC1AD4C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EEE1F6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371F89" w14:textId="2B10EC41" w:rsidR="009C76D5" w:rsidRDefault="009C76D5" w:rsidP="009C76D5">
            <w:pPr>
              <w:pStyle w:val="tal0"/>
              <w:spacing w:line="252" w:lineRule="auto"/>
              <w:jc w:val="both"/>
            </w:pPr>
            <w:r>
              <w:t>(Similar to sub-6GHz), based on 1 TXRU at gNB sweeping 16 beams and all TXRUs at UE sweeping 8 beams; metric = max sum received power</w:t>
            </w:r>
          </w:p>
        </w:tc>
      </w:tr>
      <w:tr w:rsidR="009C76D5" w14:paraId="3EBD69E9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22375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B1F2D3" w14:textId="500A23F6"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14:paraId="612F9C22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94E0A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7ADAFC" w14:textId="47ACC211"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14:paraId="5A8C2234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85B31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3496DA" w14:textId="478C4AFA"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14:paraId="33FC1105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090C3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F268653" w14:textId="68ED3C63"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14:paraId="3E08912D" w14:textId="77777777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25B1D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23D0A9" w14:textId="691135F2"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14:paraId="463D69D1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9B6448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7511C848" w14:textId="3ED9BA4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 xml:space="preserve">p,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14:paraId="3ED70A2C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D1153E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CCFB7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14:paraId="0B5EB1E0" w14:textId="77777777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AE17F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7B2A488" w14:textId="41CBC335"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 xml:space="preserve">p,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(d</w:t>
            </w:r>
            <w:r w:rsidR="009C76D5">
              <w:rPr>
                <w:color w:val="FF0000"/>
                <w:vertAlign w:val="subscript"/>
              </w:rPr>
              <w:t>V</w:t>
            </w:r>
            <w:r w:rsidR="009C76D5">
              <w:rPr>
                <w:color w:val="FF0000"/>
              </w:rPr>
              <w:t>, d</w:t>
            </w:r>
            <w:r w:rsidR="009C76D5">
              <w:rPr>
                <w:color w:val="FF0000"/>
                <w:vertAlign w:val="subscript"/>
              </w:rPr>
              <w:t>H</w:t>
            </w:r>
            <w:r w:rsidR="009C76D5">
              <w:rPr>
                <w:color w:val="FF0000"/>
              </w:rPr>
              <w:t>) = (0.5, 0.5) λ. (d</w:t>
            </w:r>
            <w:r w:rsidR="009C76D5">
              <w:rPr>
                <w:color w:val="FF0000"/>
                <w:vertAlign w:val="subscript"/>
              </w:rPr>
              <w:t>g,V</w:t>
            </w:r>
            <w:r w:rsidR="009C76D5">
              <w:rPr>
                <w:color w:val="FF0000"/>
              </w:rPr>
              <w:t>, d</w:t>
            </w:r>
            <w:r w:rsidR="009C76D5">
              <w:rPr>
                <w:color w:val="FF0000"/>
                <w:vertAlign w:val="subscript"/>
              </w:rPr>
              <w:t>g,H</w:t>
            </w:r>
            <w:r w:rsidR="009C76D5">
              <w:rPr>
                <w:color w:val="FF0000"/>
              </w:rPr>
              <w:t>) = (0, 0) λ. *Θ</w:t>
            </w:r>
            <w:r w:rsidR="009C76D5">
              <w:rPr>
                <w:color w:val="FF0000"/>
                <w:vertAlign w:val="subscript"/>
              </w:rPr>
              <w:t>mg,ng</w:t>
            </w:r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14:paraId="5902B058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DAA84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175A33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14:paraId="386D38D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734117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8FA302" w14:textId="702E3952"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14:paraId="7BDAD41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2AD4B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32F624B" w14:textId="0CE252B4"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79B3E35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06CE6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129BFE7" w14:textId="6ACFDA0A"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14:paraId="1AC8F895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26A74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EC1AB2" w14:textId="0DCB2C5B"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3FDE2E5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AF51E6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9C510D" w14:textId="0C45D46C"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14:paraId="7575DCF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A3EE62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0FD0357" w14:textId="47100F64"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14:paraId="76056DA4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AC0BE9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0F5F004" w14:textId="114FF09B"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14:paraId="4A5E53B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4C228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0322E4" w14:textId="162AD37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462BC6C7" w14:textId="77777777"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75196" w14:textId="77777777" w:rsidR="0024423D" w:rsidRDefault="0024423D">
      <w:r>
        <w:separator/>
      </w:r>
    </w:p>
  </w:endnote>
  <w:endnote w:type="continuationSeparator" w:id="0">
    <w:p w14:paraId="0DFA5EB7" w14:textId="77777777" w:rsidR="0024423D" w:rsidRDefault="0024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E68D1" w14:textId="77777777" w:rsidR="0024423D" w:rsidRDefault="0024423D">
      <w:r>
        <w:separator/>
      </w:r>
    </w:p>
  </w:footnote>
  <w:footnote w:type="continuationSeparator" w:id="0">
    <w:p w14:paraId="464D18A2" w14:textId="77777777" w:rsidR="0024423D" w:rsidRDefault="0024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3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28"/>
  </w:num>
  <w:num w:numId="5">
    <w:abstractNumId w:val="1"/>
  </w:num>
  <w:num w:numId="6">
    <w:abstractNumId w:val="17"/>
  </w:num>
  <w:num w:numId="7">
    <w:abstractNumId w:val="5"/>
  </w:num>
  <w:num w:numId="8">
    <w:abstractNumId w:val="3"/>
  </w:num>
  <w:num w:numId="9">
    <w:abstractNumId w:val="25"/>
  </w:num>
  <w:num w:numId="10">
    <w:abstractNumId w:val="32"/>
  </w:num>
  <w:num w:numId="11">
    <w:abstractNumId w:val="11"/>
  </w:num>
  <w:num w:numId="12">
    <w:abstractNumId w:val="8"/>
  </w:num>
  <w:num w:numId="13">
    <w:abstractNumId w:val="26"/>
  </w:num>
  <w:num w:numId="14">
    <w:abstractNumId w:val="29"/>
  </w:num>
  <w:num w:numId="15">
    <w:abstractNumId w:val="22"/>
  </w:num>
  <w:num w:numId="16">
    <w:abstractNumId w:val="30"/>
  </w:num>
  <w:num w:numId="17">
    <w:abstractNumId w:val="18"/>
  </w:num>
  <w:num w:numId="18">
    <w:abstractNumId w:val="0"/>
  </w:num>
  <w:num w:numId="19">
    <w:abstractNumId w:val="23"/>
  </w:num>
  <w:num w:numId="20">
    <w:abstractNumId w:val="20"/>
  </w:num>
  <w:num w:numId="21">
    <w:abstractNumId w:val="27"/>
  </w:num>
  <w:num w:numId="22">
    <w:abstractNumId w:val="7"/>
  </w:num>
  <w:num w:numId="23">
    <w:abstractNumId w:val="4"/>
  </w:num>
  <w:num w:numId="24">
    <w:abstractNumId w:val="15"/>
  </w:num>
  <w:num w:numId="25">
    <w:abstractNumId w:val="16"/>
  </w:num>
  <w:num w:numId="26">
    <w:abstractNumId w:val="31"/>
  </w:num>
  <w:num w:numId="27">
    <w:abstractNumId w:val="9"/>
  </w:num>
  <w:num w:numId="28">
    <w:abstractNumId w:val="12"/>
  </w:num>
  <w:num w:numId="29">
    <w:abstractNumId w:val="2"/>
  </w:num>
  <w:num w:numId="30">
    <w:abstractNumId w:val="24"/>
  </w:num>
  <w:num w:numId="31">
    <w:abstractNumId w:val="19"/>
  </w:num>
  <w:num w:numId="32">
    <w:abstractNumId w:val="14"/>
  </w:num>
  <w:num w:numId="3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1B64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23D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00-4DF2-AD96-CCF1A3DE5B7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0.97575136612021862</c:v>
                </c:pt>
                <c:pt idx="1">
                  <c:v>0.93239212567110763</c:v>
                </c:pt>
                <c:pt idx="2">
                  <c:v>1.0526315789473684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100-4DF2-AD96-CCF1A3DE5B7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B8F16-4B56-4539-B936-D14E1932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11</cp:revision>
  <cp:lastPrinted>2012-03-15T10:36:00Z</cp:lastPrinted>
  <dcterms:created xsi:type="dcterms:W3CDTF">2018-11-13T03:22:00Z</dcterms:created>
  <dcterms:modified xsi:type="dcterms:W3CDTF">2018-11-13T18:06:00Z</dcterms:modified>
</cp:coreProperties>
</file>